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666666"/>
          <w:spacing w:val="-12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pacing w:val="-12"/>
          <w:sz w:val="25"/>
          <w:szCs w:val="25"/>
          <w:u w:val="single"/>
          <w:lang w:eastAsia="ru-RU"/>
        </w:rPr>
        <w:t>ПАМЯТКА</w:t>
      </w:r>
    </w:p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666666"/>
          <w:spacing w:val="-12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pacing w:val="-12"/>
          <w:sz w:val="25"/>
          <w:szCs w:val="25"/>
          <w:u w:val="single"/>
          <w:lang w:eastAsia="ru-RU"/>
        </w:rPr>
        <w:t>«РОДИТЕЛЯМ ОБ ОПАСНОСТЯХ ОТКРЫТОГО ОКНА»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Основные правила, соблюдение которых поможет сохранить жизнь и здоровье детей: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нельзя надеяться на режим «</w:t>
      </w:r>
      <w:proofErr w:type="spellStart"/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микропроветривание</w:t>
      </w:r>
      <w:proofErr w:type="spellEnd"/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- объясняйте ребенку опасность открытого окна из-за возможного падения.</w:t>
      </w:r>
    </w:p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ПОМНИТЕ!</w:t>
      </w:r>
    </w:p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 Только бдительное отношение к своим собственным детям с вашей стороны</w:t>
      </w: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lang w:eastAsia="ru-RU"/>
        </w:rPr>
        <w:t> </w:t>
      </w:r>
    </w:p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lang w:eastAsia="ru-RU"/>
        </w:rPr>
        <w:t>поможет избежать беды!</w:t>
      </w:r>
    </w:p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Проверьте прямо сейчас, где находятся ваши дети!</w:t>
      </w:r>
    </w:p>
    <w:p w:rsidR="00C357D1" w:rsidRDefault="00C357D1"/>
    <w:p w:rsidR="00EB5021" w:rsidRDefault="00EB5021">
      <w:bookmarkStart w:id="0" w:name="_GoBack"/>
      <w:bookmarkEnd w:id="0"/>
    </w:p>
    <w:sectPr w:rsidR="00EB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1"/>
    <w:rsid w:val="000B5DD4"/>
    <w:rsid w:val="001D48A4"/>
    <w:rsid w:val="008772DD"/>
    <w:rsid w:val="00C357D1"/>
    <w:rsid w:val="00D9173E"/>
    <w:rsid w:val="00DB7941"/>
    <w:rsid w:val="00E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2F122-41AA-489A-A0F1-5E63ACD3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7</cp:revision>
  <dcterms:created xsi:type="dcterms:W3CDTF">2025-06-19T04:09:00Z</dcterms:created>
  <dcterms:modified xsi:type="dcterms:W3CDTF">2025-06-19T04:23:00Z</dcterms:modified>
</cp:coreProperties>
</file>